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附件2：</w:t>
      </w: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default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eastAsia="方正仿宋简体"/>
          <w:b/>
          <w:bCs/>
          <w:sz w:val="44"/>
          <w:szCs w:val="44"/>
          <w:lang w:eastAsia="zh-CN"/>
        </w:rPr>
      </w:pPr>
      <w:r>
        <w:rPr>
          <w:rFonts w:hint="eastAsia" w:eastAsia="方正仿宋简体"/>
          <w:b/>
          <w:bCs/>
          <w:sz w:val="44"/>
          <w:szCs w:val="44"/>
          <w:lang w:val="en-US" w:eastAsia="zh-CN"/>
        </w:rPr>
        <w:t>四川省</w:t>
      </w:r>
      <w:r>
        <w:rPr>
          <w:rFonts w:hint="eastAsia" w:eastAsia="方正仿宋简体"/>
          <w:b/>
          <w:bCs/>
          <w:sz w:val="44"/>
          <w:szCs w:val="44"/>
          <w:lang w:eastAsia="zh-CN"/>
        </w:rPr>
        <w:t>政策性粮食收购“一卡通”系统与地方粮库信息系统改互通共享实施方案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eastAsia="方正仿宋简体"/>
          <w:b/>
          <w:bCs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本方案根据《关于加快推进政策性粮食收购“一卡通”与地方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粮库信息系统及管理平台互通共享的通知</w:t>
      </w:r>
      <w:r>
        <w:rPr>
          <w:rFonts w:hint="eastAsia" w:asciiTheme="minorEastAsia" w:hAnsiTheme="minorEastAsia" w:eastAsiaTheme="minorEastAsia" w:cstheme="minorEastAsia"/>
          <w:lang w:eastAsia="zh-CN"/>
        </w:rPr>
        <w:t>》（国粮发〔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lang w:eastAsia="zh-CN"/>
        </w:rPr>
        <w:t>〕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233号</w:t>
      </w:r>
      <w:r>
        <w:rPr>
          <w:rFonts w:hint="eastAsia" w:asciiTheme="minorEastAsia" w:hAnsiTheme="minorEastAsia" w:eastAsiaTheme="minorEastAsia" w:cstheme="minorEastAsia"/>
          <w:lang w:eastAsia="zh-CN"/>
        </w:rPr>
        <w:t>）文件要求，结合我省实际制定。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一、数据共享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一）已经建设完成的地方粮库信息系统单位要组织智能粮库承建方按照《粮库信息系统与政策性粮食收购“一卡通”系统数据交换规范》（简称：“数据交换规范”）要求，对无法满足出入库数据互通共享的地方粮库信息系统进行改造升级，满足数据互通共享要求；正在建设中的地方粮库信息系统单位要组织智能粮库承建方按照《数据交换规范》要求，对无法满足出入库数据互通共享的地方粮库信息系统进行方案调整，满足数据互通共享要求；还未开工建设的地方粮库信息系统单位要严格按照《地方粮库信息化建设技术指引（试行）》、《粮食出入库业务信息系统技术规范》、《粮库信息系统与政策性粮食收购“一卡通”系统数据交换规范》和《四川省地方粮库信息化建设数据接口技术规范》（修订版）等相关行业标准规范规定进行开发建设，满足数据互通共享要求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（二）各单位根据需要按照《数据交换规范》的数据交换方案选择主、辅系统的定位和数据流向。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（三）收购数据交换规范自定义参数配置规定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1、以粮库系统为主的</w:t>
      </w:r>
      <w:r>
        <w:rPr>
          <w:rFonts w:hint="eastAsia" w:asciiTheme="minorEastAsia" w:hAnsiTheme="minorEastAsia" w:eastAsiaTheme="minorEastAsia" w:cstheme="minorEastAsia"/>
          <w:lang w:eastAsia="zh-CN"/>
        </w:rPr>
        <w:t>粮库信息系统存放政策性粮食收购业务数据和读取“一卡通”系统反馈的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Excel文件的</w:t>
      </w:r>
      <w:r>
        <w:rPr>
          <w:rFonts w:hint="eastAsia" w:asciiTheme="minorEastAsia" w:hAnsiTheme="minorEastAsia" w:eastAsiaTheme="minorEastAsia" w:cstheme="minorEastAsia"/>
          <w:lang w:eastAsia="zh-CN"/>
        </w:rPr>
        <w:t>频率统一规定为每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2小时更新一次；</w:t>
      </w:r>
      <w:r>
        <w:rPr>
          <w:rFonts w:hint="eastAsia" w:asciiTheme="minorEastAsia" w:hAnsiTheme="minorEastAsia" w:eastAsiaTheme="minorEastAsia" w:cstheme="minorEastAsia"/>
          <w:lang w:eastAsia="zh-CN"/>
        </w:rPr>
        <w:t>收储库点“一卡通”系统读取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ZIP文件的频率统一规定为每2小时更新一次；“指定的目录”统一规定使用</w:t>
      </w:r>
      <w:r>
        <w:rPr>
          <w:rFonts w:hint="eastAsia" w:asciiTheme="minorEastAsia" w:hAnsiTheme="minorEastAsia" w:eastAsiaTheme="minorEastAsia" w:cstheme="minorEastAsia"/>
          <w:lang w:eastAsia="zh-CN"/>
        </w:rPr>
        <w:t>《数据交换规范》的默认目录；粮库信息系统对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D：/szlkjk/backup/lkxtSend及D:/szlkjk/backup/yktReturn中的文件进行清理的频率统一规定为每3个月清理一次。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、以“一卡通”系统为主的“一卡通”系统每日定时（统一配置为凌晨1点）将前一天审核通过的收购数据生成ZIP包存放在“一卡通”系统服务器上指定的目录；粮库信息系统每日定时（统一配置为凌晨2点）在指定的目录读取ZIP文件，同时将ZIP文件转存至指定的目录。“指定的目录”统一规定使用</w:t>
      </w:r>
      <w:r>
        <w:rPr>
          <w:rFonts w:hint="eastAsia" w:asciiTheme="minorEastAsia" w:hAnsiTheme="minorEastAsia" w:eastAsiaTheme="minorEastAsia" w:cstheme="minorEastAsia"/>
          <w:lang w:eastAsia="zh-CN"/>
        </w:rPr>
        <w:t>《数据交换规范》的默认目录。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（四）销售数据交换规范自定义参数配置规定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1、以粮库系统为主的</w:t>
      </w:r>
      <w:r>
        <w:rPr>
          <w:rFonts w:hint="eastAsia" w:asciiTheme="minorEastAsia" w:hAnsiTheme="minorEastAsia" w:eastAsiaTheme="minorEastAsia" w:cstheme="minorEastAsia"/>
          <w:lang w:eastAsia="zh-CN"/>
        </w:rPr>
        <w:t>粮库信息系统存放政策性粮食销售数据到指定目录和“一卡通”系统到指定目录读取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ZIP文件的</w:t>
      </w:r>
      <w:r>
        <w:rPr>
          <w:rFonts w:hint="eastAsia" w:asciiTheme="minorEastAsia" w:hAnsiTheme="minorEastAsia" w:eastAsiaTheme="minorEastAsia" w:cstheme="minorEastAsia"/>
          <w:lang w:eastAsia="zh-CN"/>
        </w:rPr>
        <w:t>频率统一规定为每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5分钟一次；“指定的目录”统一规定使用</w:t>
      </w:r>
      <w:r>
        <w:rPr>
          <w:rFonts w:hint="eastAsia" w:asciiTheme="minorEastAsia" w:hAnsiTheme="minorEastAsia" w:eastAsiaTheme="minorEastAsia" w:cstheme="minorEastAsia"/>
          <w:lang w:eastAsia="zh-CN"/>
        </w:rPr>
        <w:t>《数据交换规范》的默认目录；粮库信息系统对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D：/szlkjk/backup/lkxtSend中的文件进行清理的频率统一规定为每3个月清理一次。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、以“一卡通”系统为主的“一卡通”系统每日定时（统一配置为凌晨1点）将出库完成的销售数据生成ZIP包存放在“一卡通”系统服务器上指定的目录；粮库信息系统每日定时（统一配置为凌晨2点）在指定的目录读取ZIP文件，同时将ZIP文件转存至指定的目录。“指定的目录”统一规定使用</w:t>
      </w:r>
      <w:r>
        <w:rPr>
          <w:rFonts w:hint="eastAsia" w:asciiTheme="minorEastAsia" w:hAnsiTheme="minorEastAsia" w:eastAsiaTheme="minorEastAsia" w:cstheme="minorEastAsia"/>
          <w:lang w:eastAsia="zh-CN"/>
        </w:rPr>
        <w:t>《数据交换规范》的默认目录。粮库信息系统对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D：/szlkjk/backup/ytkSend中的文件进行清理的频率统一规定为每3个月清理一次。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3" w:firstLineChars="200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二、数据上传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（一）仅有地方粮库信息系统的单位，按照《四川省地方粮库信息化建设数据接口技术规范》（修订版）的要求与省级接口管理平台对接，实现数据实时传输到省级平台、国家粮食和物资储备管理平台。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（二）两套系统同时运行的单位，“一卡通”系统按照相关规范要求，实现政策性粮食收购数据实时传输到中储粮成都分公司、中储粮集团公司；地方粮库信息化系统按照《四川省地方粮库信息化建设数据接口技术规范》（修订版）的要求与省级接口管理平台对接，实现数据实时传输到省级平台、国家粮食和物资储备管理平台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三）仅有“一卡通”系统的单位，“一卡通”系统除实现政策性粮食收购数据实时传输到中储粮成都分公司、中储粮集团公司外还需对“一卡通”系统进行升级改造，增加定时上传程序，实现政策性粮食收购数据实时传输到省级平台、国家粮食和物资储备管理平台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三、资源整合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对已有政策性粮食收购“一卡通”系统，但尚未开工建设或在建智能粮库出入库系统的粮库，可充分整合利用政策性粮食收购“一卡通”系统软件系统（出入库系统）、硬件设施，不得重复建设功能相同的信息系统。对于两套系统同时运行的，应采用规范软件系统数据读取接口等方式，实现一台地磅可接多台电脑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四、组织协调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地各单位和中储粮成都分公司直属库要充分认识政策性粮食收购“一卡通”系统和地方粮库信息系统互通共享，对保障政策性粮食收购，实现粮食收购完整数据共享，提高工作效率的重要意义，应积极作为，组成专门班子负责，协调“一卡通”系统和地方粮库信息化承建单位，相互配合，对各自承建的信息系统按照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《国家粮食和物资储备管理平台与省级平台互通共享数据规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（试行）》等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国家相关标准进行规范升级改造，确保2019年3月30日前完成政策性粮食收购“一卡通”系统和具备条件的地方粮库信息系统互通共享相关工作。智能粮库升级改造未建成的单位，要加快建设进度，确保2019年6月底基本建成并与省级平台互通共享。</w:t>
      </w:r>
    </w:p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联系人：四川省粮食和物资储备局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侯少杰 电话：028-86713639</w:t>
      </w:r>
    </w:p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中储粮成都分公司               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方正仿宋简体"/>
          <w:lang w:val="en-US" w:eastAsia="zh-CN"/>
        </w:rPr>
      </w:pPr>
      <w:r>
        <w:rPr>
          <w:rFonts w:hint="eastAsia" w:eastAsia="方正仿宋简体"/>
          <w:lang w:eastAsia="zh-CN"/>
        </w:rPr>
        <w:t>四川省粮食和物资储备局</w:t>
      </w:r>
      <w:r>
        <w:rPr>
          <w:rFonts w:hint="eastAsia" w:eastAsia="方正仿宋简体"/>
          <w:lang w:val="en-US" w:eastAsia="zh-CN"/>
        </w:rPr>
        <w:t xml:space="preserve">          中储粮成都分公司 </w:t>
      </w:r>
    </w:p>
    <w:p>
      <w:pPr>
        <w:snapToGrid w:val="0"/>
        <w:spacing w:line="530" w:lineRule="exact"/>
        <w:ind w:right="202" w:rightChars="63" w:firstLine="5760" w:firstLineChars="1800"/>
        <w:jc w:val="both"/>
        <w:rPr>
          <w:rFonts w:eastAsia="方正仿宋简体"/>
        </w:rPr>
      </w:pPr>
      <w:r>
        <w:rPr>
          <w:rFonts w:hint="eastAsia" w:eastAsia="方正仿宋简体"/>
          <w:lang w:val="en-US" w:eastAsia="zh-CN"/>
        </w:rPr>
        <w:t>2019年3月6日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8" w:rightChars="9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288" w:rightChars="9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color w:val="FFFFFF" w:themeColor="background1"/>
                              <w:sz w:val="28"/>
                              <w:szCs w:val="28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rFonts w:asciiTheme="minorEastAsia" w:hAnsiTheme="minorEastAsia" w:eastAsia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88" w:rightChars="9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3</w:t>
                    </w:r>
                    <w:r>
                      <w:rPr>
                        <w:rFonts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07" w:firstLineChars="17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7416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ind w:firstLine="307" w:firstLineChars="171"/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7416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ind w:firstLine="307" w:firstLineChars="171"/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F2"/>
    <w:rsid w:val="000A45E0"/>
    <w:rsid w:val="000E1CBE"/>
    <w:rsid w:val="001A0AA8"/>
    <w:rsid w:val="001E3B0A"/>
    <w:rsid w:val="0021445C"/>
    <w:rsid w:val="00273ECD"/>
    <w:rsid w:val="00294DE0"/>
    <w:rsid w:val="003B6CD0"/>
    <w:rsid w:val="004537BA"/>
    <w:rsid w:val="0049663F"/>
    <w:rsid w:val="006502A9"/>
    <w:rsid w:val="006C5BF2"/>
    <w:rsid w:val="007631D3"/>
    <w:rsid w:val="00862A29"/>
    <w:rsid w:val="008E3151"/>
    <w:rsid w:val="00B33362"/>
    <w:rsid w:val="00C875F4"/>
    <w:rsid w:val="00CB4644"/>
    <w:rsid w:val="00D100A0"/>
    <w:rsid w:val="00D3765A"/>
    <w:rsid w:val="00D42437"/>
    <w:rsid w:val="00E85B57"/>
    <w:rsid w:val="01E10EF5"/>
    <w:rsid w:val="02266FEC"/>
    <w:rsid w:val="0346604F"/>
    <w:rsid w:val="0BA074B0"/>
    <w:rsid w:val="13572594"/>
    <w:rsid w:val="161A09CF"/>
    <w:rsid w:val="17F835A2"/>
    <w:rsid w:val="18E6365D"/>
    <w:rsid w:val="1F600CBF"/>
    <w:rsid w:val="235C1386"/>
    <w:rsid w:val="24270D82"/>
    <w:rsid w:val="24EE15F7"/>
    <w:rsid w:val="252C0C52"/>
    <w:rsid w:val="2682396E"/>
    <w:rsid w:val="28AA2C0F"/>
    <w:rsid w:val="28C75762"/>
    <w:rsid w:val="2C196938"/>
    <w:rsid w:val="2EA90D95"/>
    <w:rsid w:val="2F4916D3"/>
    <w:rsid w:val="32675128"/>
    <w:rsid w:val="32A41A15"/>
    <w:rsid w:val="32BA4D77"/>
    <w:rsid w:val="34E811DC"/>
    <w:rsid w:val="35822494"/>
    <w:rsid w:val="379472BF"/>
    <w:rsid w:val="38D8254B"/>
    <w:rsid w:val="40195DE1"/>
    <w:rsid w:val="451C36F9"/>
    <w:rsid w:val="4AA43964"/>
    <w:rsid w:val="4B1543E3"/>
    <w:rsid w:val="50827CEF"/>
    <w:rsid w:val="54EE4837"/>
    <w:rsid w:val="58D66E35"/>
    <w:rsid w:val="5C0239BC"/>
    <w:rsid w:val="5CD61C13"/>
    <w:rsid w:val="5D791E1F"/>
    <w:rsid w:val="60D072DD"/>
    <w:rsid w:val="60D429AA"/>
    <w:rsid w:val="65B15926"/>
    <w:rsid w:val="65D17D2F"/>
    <w:rsid w:val="6B030CD2"/>
    <w:rsid w:val="73424687"/>
    <w:rsid w:val="7653033B"/>
    <w:rsid w:val="79735676"/>
    <w:rsid w:val="7EC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2018-04-28T06:38:00Z</dcterms:created>
  <dc:creator>user</dc:creator>
  <cp:lastModifiedBy>123344</cp:lastModifiedBy>
  <cp:lastPrinted>2019-02-28T09:20:00Z</cp:lastPrinted>
  <dcterms:modified xsi:type="dcterms:W3CDTF">2019-03-11T01:40:16Z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