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/>
          <w:b/>
          <w:bCs/>
          <w:sz w:val="44"/>
          <w:szCs w:val="44"/>
        </w:rPr>
        <w:t>VPN对接</w:t>
      </w:r>
      <w:r>
        <w:rPr>
          <w:rFonts w:hint="eastAsia" w:ascii="宋体" w:hAnsi="宋体" w:eastAsia="宋体"/>
          <w:b/>
          <w:bCs/>
          <w:sz w:val="44"/>
          <w:szCs w:val="44"/>
        </w:rPr>
        <w:t>简要</w:t>
      </w:r>
      <w:r>
        <w:rPr>
          <w:rFonts w:ascii="宋体" w:hAnsi="宋体" w:eastAsia="宋体"/>
          <w:b/>
          <w:bCs/>
          <w:sz w:val="44"/>
          <w:szCs w:val="44"/>
        </w:rPr>
        <w:t>说明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及账户分配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一、对接方式一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通过账户密码连接</w:t>
      </w:r>
      <w:r>
        <w:rPr>
          <w:rFonts w:hint="eastAsia" w:ascii="宋体" w:hAnsi="宋体" w:eastAsia="宋体"/>
          <w:sz w:val="28"/>
          <w:szCs w:val="28"/>
          <w:lang w:eastAsia="zh-CN"/>
        </w:rPr>
        <w:t>。（</w:t>
      </w:r>
      <w:r>
        <w:rPr>
          <w:rFonts w:hint="eastAsia" w:ascii="宋体" w:hAnsi="宋体" w:eastAsia="宋体"/>
          <w:sz w:val="28"/>
          <w:szCs w:val="28"/>
        </w:rPr>
        <w:t>账户密码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见</w:t>
      </w: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VPN账户名单）</w:t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二、对接方式二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通过预共享密码连接</w:t>
      </w:r>
      <w:r>
        <w:rPr>
          <w:rFonts w:hint="eastAsia" w:ascii="宋体" w:hAnsi="宋体" w:eastAsia="宋体"/>
          <w:sz w:val="28"/>
          <w:szCs w:val="28"/>
          <w:lang w:eastAsia="zh-CN"/>
        </w:rPr>
        <w:t>。（</w:t>
      </w:r>
      <w:r>
        <w:rPr>
          <w:rFonts w:hint="eastAsia" w:ascii="宋体" w:hAnsi="宋体" w:eastAsia="宋体"/>
          <w:sz w:val="28"/>
          <w:szCs w:val="28"/>
        </w:rPr>
        <w:t>密码见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附件2：VPN账户名单</w:t>
      </w:r>
      <w:r>
        <w:rPr>
          <w:rFonts w:hint="eastAsia" w:ascii="宋体" w:hAnsi="宋体" w:eastAsia="宋体"/>
          <w:sz w:val="28"/>
          <w:szCs w:val="28"/>
        </w:rPr>
        <w:t>G列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（省局V</w:t>
      </w:r>
      <w:r>
        <w:rPr>
          <w:rFonts w:ascii="宋体" w:hAnsi="宋体" w:eastAsia="宋体"/>
          <w:sz w:val="28"/>
          <w:szCs w:val="28"/>
        </w:rPr>
        <w:t>P</w:t>
      </w:r>
      <w:r>
        <w:rPr>
          <w:rFonts w:hint="eastAsia" w:ascii="宋体" w:hAnsi="宋体" w:eastAsia="宋体"/>
          <w:sz w:val="28"/>
          <w:szCs w:val="28"/>
        </w:rPr>
        <w:t>N配置供参考）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第一阶段：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4872355" cy="3733165"/>
            <wp:effectExtent l="0" t="0" r="4445" b="635"/>
            <wp:docPr id="5" name="图片 5" descr="第一阶段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一阶段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4997450" cy="4161155"/>
            <wp:effectExtent l="0" t="0" r="12700" b="10795"/>
            <wp:docPr id="4" name="图片 4" descr="第一阶段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一阶段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第二阶段：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4752340" cy="3912235"/>
            <wp:effectExtent l="0" t="0" r="10160" b="12065"/>
            <wp:docPr id="6" name="图片 6" descr="第二阶段入站策略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二阶段入站策略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4726305" cy="3620770"/>
            <wp:effectExtent l="0" t="0" r="17145" b="17780"/>
            <wp:docPr id="7" name="图片 7" descr="第二阶段出站策略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二阶段出站策略-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第一阶段：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野蛮模式（需分支发起主动连接）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总部固定IP：202.61.91.31（总部地址）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认证方式：预共享密钥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ISAKMP存活时间：28800S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DH群：DH2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总部身份类型：域名字符串（FQDN）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总部身份ID：SANGFOR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分支身份类型：域名字符串（FQDN）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分支身份ID：LSJ+账户名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启用DPD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启用NAT穿透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ISAKMP认证算法：MD5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ISAKMP加密算法：3DES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第二阶段：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SA生存时间：28800S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安全协议：ESP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安全选项：MD5+3DES</w:t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三、V</w:t>
      </w:r>
      <w:r>
        <w:rPr>
          <w:rFonts w:ascii="宋体" w:hAnsi="宋体" w:eastAsia="宋体"/>
          <w:b/>
          <w:bCs/>
          <w:sz w:val="28"/>
          <w:szCs w:val="28"/>
        </w:rPr>
        <w:t>PN</w:t>
      </w:r>
      <w:r>
        <w:rPr>
          <w:rFonts w:hint="eastAsia" w:ascii="宋体" w:hAnsi="宋体" w:eastAsia="宋体"/>
          <w:b/>
          <w:bCs/>
          <w:sz w:val="28"/>
          <w:szCs w:val="28"/>
        </w:rPr>
        <w:t>网络I</w:t>
      </w:r>
      <w:r>
        <w:rPr>
          <w:rFonts w:ascii="宋体" w:hAnsi="宋体" w:eastAsia="宋体"/>
          <w:b/>
          <w:bCs/>
          <w:sz w:val="28"/>
          <w:szCs w:val="28"/>
        </w:rPr>
        <w:t>P</w:t>
      </w:r>
      <w:r>
        <w:rPr>
          <w:rFonts w:hint="eastAsia" w:ascii="宋体" w:hAnsi="宋体" w:eastAsia="宋体"/>
          <w:b/>
          <w:bCs/>
          <w:sz w:val="28"/>
          <w:szCs w:val="28"/>
        </w:rPr>
        <w:t>地址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配置</w:t>
      </w:r>
      <w:r>
        <w:rPr>
          <w:rFonts w:hint="eastAsia" w:ascii="宋体" w:hAnsi="宋体" w:eastAsia="宋体"/>
          <w:b/>
          <w:bCs/>
          <w:sz w:val="28"/>
          <w:szCs w:val="28"/>
        </w:rPr>
        <w:t>说明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为确保V</w:t>
      </w:r>
      <w:r>
        <w:rPr>
          <w:rFonts w:ascii="宋体" w:hAnsi="宋体" w:eastAsia="宋体"/>
          <w:sz w:val="28"/>
          <w:szCs w:val="28"/>
        </w:rPr>
        <w:t>PN</w:t>
      </w:r>
      <w:r>
        <w:rPr>
          <w:rFonts w:hint="eastAsia" w:ascii="宋体" w:hAnsi="宋体" w:eastAsia="宋体"/>
          <w:sz w:val="28"/>
          <w:szCs w:val="28"/>
        </w:rPr>
        <w:t>连接后，各单位I</w:t>
      </w:r>
      <w:r>
        <w:rPr>
          <w:rFonts w:ascii="宋体" w:hAnsi="宋体" w:eastAsia="宋体"/>
          <w:sz w:val="28"/>
          <w:szCs w:val="28"/>
        </w:rPr>
        <w:t>P</w:t>
      </w:r>
      <w:r>
        <w:rPr>
          <w:rFonts w:hint="eastAsia" w:ascii="宋体" w:hAnsi="宋体" w:eastAsia="宋体"/>
          <w:sz w:val="28"/>
          <w:szCs w:val="28"/>
        </w:rPr>
        <w:t>地址不冲突，各单位使用I</w:t>
      </w:r>
      <w:r>
        <w:rPr>
          <w:rFonts w:ascii="宋体" w:hAnsi="宋体" w:eastAsia="宋体"/>
          <w:sz w:val="28"/>
          <w:szCs w:val="28"/>
        </w:rPr>
        <w:t>P</w:t>
      </w:r>
      <w:r>
        <w:rPr>
          <w:rFonts w:hint="eastAsia" w:ascii="宋体" w:hAnsi="宋体" w:eastAsia="宋体"/>
          <w:sz w:val="28"/>
          <w:szCs w:val="28"/>
        </w:rPr>
        <w:t>资源见F列，最后一位（1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）为各单位V</w:t>
      </w:r>
      <w:r>
        <w:rPr>
          <w:rFonts w:ascii="宋体" w:hAnsi="宋体" w:eastAsia="宋体"/>
          <w:sz w:val="28"/>
          <w:szCs w:val="28"/>
        </w:rPr>
        <w:t>PN</w:t>
      </w:r>
      <w:r>
        <w:rPr>
          <w:rFonts w:hint="eastAsia" w:ascii="宋体" w:hAnsi="宋体" w:eastAsia="宋体"/>
          <w:sz w:val="28"/>
          <w:szCs w:val="28"/>
        </w:rPr>
        <w:t>设备地址，其他设备的V</w:t>
      </w:r>
      <w:r>
        <w:rPr>
          <w:rFonts w:ascii="宋体" w:hAnsi="宋体" w:eastAsia="宋体"/>
          <w:sz w:val="28"/>
          <w:szCs w:val="28"/>
        </w:rPr>
        <w:t>PN</w:t>
      </w:r>
      <w:r>
        <w:rPr>
          <w:rFonts w:hint="eastAsia" w:ascii="宋体" w:hAnsi="宋体" w:eastAsia="宋体"/>
          <w:sz w:val="28"/>
          <w:szCs w:val="28"/>
        </w:rPr>
        <w:t>地址调整最后一位（前3个段不变）。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账户分配</w:t>
      </w:r>
    </w:p>
    <w:p>
      <w:pPr>
        <w:numPr>
          <w:numId w:val="0"/>
        </w:num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对接账户分配及技术沟通微信：13541167312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E67A"/>
    <w:multiLevelType w:val="singleLevel"/>
    <w:tmpl w:val="71DBE67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06"/>
    <w:rsid w:val="007A5529"/>
    <w:rsid w:val="00871BF6"/>
    <w:rsid w:val="00990D3D"/>
    <w:rsid w:val="00AF0606"/>
    <w:rsid w:val="00FA4D81"/>
    <w:rsid w:val="09C70CF0"/>
    <w:rsid w:val="1C571B63"/>
    <w:rsid w:val="1DA03CBF"/>
    <w:rsid w:val="1E625DB2"/>
    <w:rsid w:val="255B766B"/>
    <w:rsid w:val="36E9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2019-05-29T07:48:00Z</dcterms:created>
  <dc:creator>Fu xiaoyu</dc:creator>
  <cp:lastModifiedBy>刘超</cp:lastModifiedBy>
  <dcterms:modified xsi:type="dcterms:W3CDTF">2019-06-26T01:38:49Z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